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567"/>
        <w:gridCol w:w="3119"/>
        <w:gridCol w:w="2409"/>
      </w:tblGrid>
      <w:tr w:rsidR="00CC5C5A" w:rsidRPr="003F62DA" w14:paraId="4093270A" w14:textId="77777777" w:rsidTr="00CC5C5A">
        <w:trPr>
          <w:trHeight w:val="360"/>
        </w:trPr>
        <w:tc>
          <w:tcPr>
            <w:tcW w:w="9067" w:type="dxa"/>
            <w:gridSpan w:val="4"/>
            <w:hideMark/>
          </w:tcPr>
          <w:p w14:paraId="13F53230" w14:textId="06CBA196" w:rsidR="00CC5C5A" w:rsidRPr="003F62DA" w:rsidRDefault="00CC5C5A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>CORPORATE AREAS</w:t>
            </w:r>
          </w:p>
        </w:tc>
      </w:tr>
      <w:tr w:rsidR="00CC5C5A" w:rsidRPr="003F62DA" w14:paraId="3DD3CEBD" w14:textId="77777777" w:rsidTr="004E6289">
        <w:trPr>
          <w:trHeight w:val="293"/>
        </w:trPr>
        <w:tc>
          <w:tcPr>
            <w:tcW w:w="2972" w:type="dxa"/>
            <w:hideMark/>
          </w:tcPr>
          <w:p w14:paraId="684D8F09" w14:textId="77777777" w:rsidR="00CC5C5A" w:rsidRPr="003F62DA" w:rsidRDefault="00CC5C5A">
            <w:r w:rsidRPr="003F62DA">
              <w:t xml:space="preserve">Annual Governance Statement </w:t>
            </w:r>
          </w:p>
        </w:tc>
        <w:tc>
          <w:tcPr>
            <w:tcW w:w="567" w:type="dxa"/>
            <w:noWrap/>
            <w:hideMark/>
          </w:tcPr>
          <w:p w14:paraId="02753566" w14:textId="77777777" w:rsidR="00CC5C5A" w:rsidRPr="00B03BCF" w:rsidRDefault="00CC5C5A" w:rsidP="00323618">
            <w:pPr>
              <w:jc w:val="center"/>
            </w:pPr>
            <w:r w:rsidRPr="00B03BCF">
              <w:t>1</w:t>
            </w:r>
          </w:p>
        </w:tc>
        <w:tc>
          <w:tcPr>
            <w:tcW w:w="3119" w:type="dxa"/>
          </w:tcPr>
          <w:p w14:paraId="016BC722" w14:textId="50BB1129" w:rsidR="00CC5C5A" w:rsidRPr="003F62DA" w:rsidRDefault="00CC5C5A">
            <w:r>
              <w:t>Complete</w:t>
            </w:r>
          </w:p>
        </w:tc>
        <w:tc>
          <w:tcPr>
            <w:tcW w:w="2409" w:type="dxa"/>
            <w:noWrap/>
          </w:tcPr>
          <w:p w14:paraId="1EC31A47" w14:textId="4A41D727" w:rsidR="00CC5C5A" w:rsidRPr="003F62DA" w:rsidRDefault="00CC5C5A">
            <w:r>
              <w:t>Not applicable</w:t>
            </w:r>
          </w:p>
        </w:tc>
      </w:tr>
      <w:tr w:rsidR="00CC5C5A" w:rsidRPr="003F62DA" w14:paraId="3ADBEE1E" w14:textId="77777777" w:rsidTr="004E6289">
        <w:trPr>
          <w:trHeight w:val="269"/>
        </w:trPr>
        <w:tc>
          <w:tcPr>
            <w:tcW w:w="2972" w:type="dxa"/>
            <w:hideMark/>
          </w:tcPr>
          <w:p w14:paraId="01AF0FCE" w14:textId="77777777" w:rsidR="00CC5C5A" w:rsidRPr="003F62DA" w:rsidRDefault="00CC5C5A">
            <w:r w:rsidRPr="003F62DA">
              <w:t>Anti-Fraud &amp; Corruption</w:t>
            </w:r>
          </w:p>
        </w:tc>
        <w:tc>
          <w:tcPr>
            <w:tcW w:w="567" w:type="dxa"/>
            <w:noWrap/>
            <w:hideMark/>
          </w:tcPr>
          <w:p w14:paraId="33FDF341" w14:textId="77777777" w:rsidR="00CC5C5A" w:rsidRPr="00B03BCF" w:rsidRDefault="00CC5C5A" w:rsidP="00323618">
            <w:pPr>
              <w:jc w:val="center"/>
            </w:pPr>
            <w:r w:rsidRPr="00B03BCF">
              <w:t>ALL</w:t>
            </w:r>
          </w:p>
        </w:tc>
        <w:tc>
          <w:tcPr>
            <w:tcW w:w="3119" w:type="dxa"/>
            <w:hideMark/>
          </w:tcPr>
          <w:p w14:paraId="19E01185" w14:textId="48E5471F" w:rsidR="00CC5C5A" w:rsidRPr="003F62DA" w:rsidRDefault="00CC5C5A">
            <w:r>
              <w:t>On-going over the 12 months</w:t>
            </w:r>
          </w:p>
        </w:tc>
        <w:tc>
          <w:tcPr>
            <w:tcW w:w="2409" w:type="dxa"/>
            <w:noWrap/>
            <w:hideMark/>
          </w:tcPr>
          <w:p w14:paraId="440CD1DD" w14:textId="04735096" w:rsidR="00CC5C5A" w:rsidRPr="003F62DA" w:rsidRDefault="00CC5C5A">
            <w:r>
              <w:t>Not applicable</w:t>
            </w:r>
          </w:p>
        </w:tc>
      </w:tr>
      <w:tr w:rsidR="00CC5C5A" w:rsidRPr="003F62DA" w14:paraId="4BE16912" w14:textId="77777777" w:rsidTr="004E6289">
        <w:trPr>
          <w:trHeight w:val="258"/>
        </w:trPr>
        <w:tc>
          <w:tcPr>
            <w:tcW w:w="2972" w:type="dxa"/>
            <w:shd w:val="clear" w:color="auto" w:fill="FFFFFF" w:themeFill="background1"/>
            <w:hideMark/>
          </w:tcPr>
          <w:p w14:paraId="224ABEC8" w14:textId="77777777" w:rsidR="00CC5C5A" w:rsidRPr="003F62DA" w:rsidRDefault="00CC5C5A">
            <w:r w:rsidRPr="003F62DA">
              <w:t>NFI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2885B5E1" w14:textId="73062639" w:rsidR="00CC5C5A" w:rsidRPr="00B03BCF" w:rsidRDefault="00CC5C5A" w:rsidP="00323618">
            <w:pPr>
              <w:jc w:val="center"/>
            </w:pPr>
            <w:r>
              <w:t>ALL</w:t>
            </w:r>
          </w:p>
        </w:tc>
        <w:tc>
          <w:tcPr>
            <w:tcW w:w="3119" w:type="dxa"/>
            <w:shd w:val="clear" w:color="auto" w:fill="FFFFFF" w:themeFill="background1"/>
          </w:tcPr>
          <w:p w14:paraId="50D07B0E" w14:textId="6790C684" w:rsidR="00CC5C5A" w:rsidRPr="003F62DA" w:rsidRDefault="00CC5C5A">
            <w:r>
              <w:t>On-going over the 12 months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690DA78B" w14:textId="2FE06984" w:rsidR="00CC5C5A" w:rsidRPr="003F62DA" w:rsidRDefault="00CC5C5A">
            <w:r>
              <w:t>Not applicable</w:t>
            </w:r>
          </w:p>
        </w:tc>
      </w:tr>
      <w:tr w:rsidR="00CC5C5A" w:rsidRPr="003F62DA" w14:paraId="13A50C71" w14:textId="77777777" w:rsidTr="004E6289">
        <w:trPr>
          <w:trHeight w:val="390"/>
        </w:trPr>
        <w:tc>
          <w:tcPr>
            <w:tcW w:w="9067" w:type="dxa"/>
            <w:gridSpan w:val="4"/>
            <w:hideMark/>
          </w:tcPr>
          <w:p w14:paraId="2188AEC2" w14:textId="220DA7E9" w:rsidR="00CC5C5A" w:rsidRPr="003F62DA" w:rsidRDefault="00CC5C5A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 xml:space="preserve">CUSTOMER &amp; DIGITAL </w:t>
            </w:r>
          </w:p>
        </w:tc>
      </w:tr>
      <w:tr w:rsidR="00CC5C5A" w:rsidRPr="003F62DA" w14:paraId="110C9467" w14:textId="77777777" w:rsidTr="004E6289">
        <w:trPr>
          <w:trHeight w:val="390"/>
        </w:trPr>
        <w:tc>
          <w:tcPr>
            <w:tcW w:w="2972" w:type="dxa"/>
            <w:hideMark/>
          </w:tcPr>
          <w:p w14:paraId="3DDAF4DC" w14:textId="77777777" w:rsidR="00CC5C5A" w:rsidRPr="003F62DA" w:rsidRDefault="00CC5C5A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>Customer Services</w:t>
            </w:r>
          </w:p>
        </w:tc>
        <w:tc>
          <w:tcPr>
            <w:tcW w:w="567" w:type="dxa"/>
            <w:noWrap/>
            <w:hideMark/>
          </w:tcPr>
          <w:p w14:paraId="13F08367" w14:textId="77777777" w:rsidR="00CC5C5A" w:rsidRPr="003F62DA" w:rsidRDefault="00CC5C5A" w:rsidP="003F62DA">
            <w:r w:rsidRPr="003F62DA">
              <w:t> </w:t>
            </w:r>
          </w:p>
        </w:tc>
        <w:tc>
          <w:tcPr>
            <w:tcW w:w="3119" w:type="dxa"/>
            <w:hideMark/>
          </w:tcPr>
          <w:p w14:paraId="3F3F050E" w14:textId="77777777" w:rsidR="00CC5C5A" w:rsidRPr="003F62DA" w:rsidRDefault="00CC5C5A">
            <w:r w:rsidRPr="003F62DA">
              <w:t> </w:t>
            </w:r>
          </w:p>
        </w:tc>
        <w:tc>
          <w:tcPr>
            <w:tcW w:w="2409" w:type="dxa"/>
            <w:noWrap/>
            <w:hideMark/>
          </w:tcPr>
          <w:p w14:paraId="6FB1BF80" w14:textId="77777777" w:rsidR="00CC5C5A" w:rsidRPr="003F62DA" w:rsidRDefault="00CC5C5A">
            <w:r w:rsidRPr="003F62DA">
              <w:t> </w:t>
            </w:r>
          </w:p>
        </w:tc>
      </w:tr>
      <w:tr w:rsidR="00CC5C5A" w:rsidRPr="003F62DA" w14:paraId="5BDCAE29" w14:textId="77777777" w:rsidTr="004E6289">
        <w:trPr>
          <w:trHeight w:val="614"/>
        </w:trPr>
        <w:tc>
          <w:tcPr>
            <w:tcW w:w="2972" w:type="dxa"/>
            <w:hideMark/>
          </w:tcPr>
          <w:p w14:paraId="2AA5F37C" w14:textId="6E06FD8C" w:rsidR="00CC5C5A" w:rsidRPr="003F62DA" w:rsidRDefault="00CC5C5A">
            <w:r w:rsidRPr="003F62DA">
              <w:t>Rev</w:t>
            </w:r>
            <w:r>
              <w:t>enues</w:t>
            </w:r>
            <w:r w:rsidRPr="003F62DA">
              <w:t xml:space="preserve"> and Ben</w:t>
            </w:r>
            <w:r>
              <w:t>efit</w:t>
            </w:r>
            <w:r w:rsidRPr="003F62DA">
              <w:t xml:space="preserve"> project support </w:t>
            </w:r>
          </w:p>
        </w:tc>
        <w:tc>
          <w:tcPr>
            <w:tcW w:w="567" w:type="dxa"/>
            <w:noWrap/>
            <w:hideMark/>
          </w:tcPr>
          <w:p w14:paraId="3B7A9B23" w14:textId="4FACC0DC" w:rsidR="00CC5C5A" w:rsidRPr="00B03BCF" w:rsidRDefault="004E6289" w:rsidP="004E6289">
            <w:r>
              <w:t>ALL</w:t>
            </w:r>
          </w:p>
        </w:tc>
        <w:tc>
          <w:tcPr>
            <w:tcW w:w="3119" w:type="dxa"/>
            <w:hideMark/>
          </w:tcPr>
          <w:p w14:paraId="4644CB5E" w14:textId="54C9F10C" w:rsidR="00CC5C5A" w:rsidRPr="003F62DA" w:rsidRDefault="004E6289">
            <w:r>
              <w:t>On-going over the 12 months</w:t>
            </w:r>
          </w:p>
        </w:tc>
        <w:tc>
          <w:tcPr>
            <w:tcW w:w="2409" w:type="dxa"/>
            <w:noWrap/>
          </w:tcPr>
          <w:p w14:paraId="583A9E6D" w14:textId="00BEC07A" w:rsidR="00CC5C5A" w:rsidRPr="003F62DA" w:rsidRDefault="004E6289">
            <w:r>
              <w:t>Not applicable</w:t>
            </w:r>
          </w:p>
        </w:tc>
      </w:tr>
      <w:tr w:rsidR="00CC5C5A" w:rsidRPr="003F62DA" w14:paraId="6D0806F3" w14:textId="77777777" w:rsidTr="004E6289">
        <w:trPr>
          <w:trHeight w:val="268"/>
        </w:trPr>
        <w:tc>
          <w:tcPr>
            <w:tcW w:w="2972" w:type="dxa"/>
          </w:tcPr>
          <w:p w14:paraId="5192FDF4" w14:textId="0659F731" w:rsidR="00CC5C5A" w:rsidRPr="003F62DA" w:rsidRDefault="00CC5C5A">
            <w:r>
              <w:t>Council Tax</w:t>
            </w:r>
            <w:r w:rsidR="0068070F">
              <w:t xml:space="preserve"> Policies</w:t>
            </w:r>
          </w:p>
        </w:tc>
        <w:tc>
          <w:tcPr>
            <w:tcW w:w="567" w:type="dxa"/>
            <w:noWrap/>
          </w:tcPr>
          <w:p w14:paraId="0F2566BD" w14:textId="1A624B38" w:rsidR="00CC5C5A" w:rsidRDefault="00CC5C5A" w:rsidP="00323618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14:paraId="5EBC28F2" w14:textId="7C2EC6AB" w:rsidR="00CC5C5A" w:rsidRDefault="0068070F">
            <w:r>
              <w:t>Complete</w:t>
            </w:r>
          </w:p>
        </w:tc>
        <w:tc>
          <w:tcPr>
            <w:tcW w:w="2409" w:type="dxa"/>
            <w:noWrap/>
          </w:tcPr>
          <w:p w14:paraId="737BBCD4" w14:textId="2B568E75" w:rsidR="00CC5C5A" w:rsidRPr="003F62DA" w:rsidRDefault="0068070F">
            <w:r>
              <w:t>Substantial</w:t>
            </w:r>
          </w:p>
        </w:tc>
      </w:tr>
      <w:tr w:rsidR="00CC5C5A" w:rsidRPr="003F62DA" w14:paraId="49CB1F27" w14:textId="77777777" w:rsidTr="004E6289">
        <w:trPr>
          <w:trHeight w:val="404"/>
        </w:trPr>
        <w:tc>
          <w:tcPr>
            <w:tcW w:w="2972" w:type="dxa"/>
          </w:tcPr>
          <w:p w14:paraId="0860238A" w14:textId="5094D7AE" w:rsidR="00CC5C5A" w:rsidRPr="003F62DA" w:rsidRDefault="004E6289">
            <w:r>
              <w:t>Sundry Debtors – Aged Debts</w:t>
            </w:r>
          </w:p>
        </w:tc>
        <w:tc>
          <w:tcPr>
            <w:tcW w:w="567" w:type="dxa"/>
            <w:noWrap/>
          </w:tcPr>
          <w:p w14:paraId="6B4014EF" w14:textId="50E55E1A" w:rsidR="00CC5C5A" w:rsidRDefault="00CC5C5A" w:rsidP="00323618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14:paraId="248C5ADE" w14:textId="1BA3C4F7" w:rsidR="00CC5C5A" w:rsidRDefault="004E6289">
            <w:r>
              <w:t>Complete</w:t>
            </w:r>
          </w:p>
        </w:tc>
        <w:tc>
          <w:tcPr>
            <w:tcW w:w="2409" w:type="dxa"/>
            <w:noWrap/>
          </w:tcPr>
          <w:p w14:paraId="3786CF4A" w14:textId="47FAB3AF" w:rsidR="00CC5C5A" w:rsidRPr="003F62DA" w:rsidRDefault="004E6289">
            <w:r>
              <w:t>Limited</w:t>
            </w:r>
          </w:p>
        </w:tc>
      </w:tr>
      <w:tr w:rsidR="0068070F" w:rsidRPr="003F62DA" w14:paraId="46C7D6BC" w14:textId="77777777" w:rsidTr="004E6289">
        <w:trPr>
          <w:trHeight w:val="404"/>
        </w:trPr>
        <w:tc>
          <w:tcPr>
            <w:tcW w:w="2972" w:type="dxa"/>
          </w:tcPr>
          <w:p w14:paraId="26229C32" w14:textId="0E63DB1A" w:rsidR="0068070F" w:rsidRDefault="0068070F">
            <w:r>
              <w:t>Write off Process</w:t>
            </w:r>
          </w:p>
        </w:tc>
        <w:tc>
          <w:tcPr>
            <w:tcW w:w="567" w:type="dxa"/>
            <w:noWrap/>
          </w:tcPr>
          <w:p w14:paraId="18CEEC07" w14:textId="27D939D5" w:rsidR="0068070F" w:rsidRDefault="0068070F" w:rsidP="00323618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14:paraId="5541956B" w14:textId="28270638" w:rsidR="0068070F" w:rsidRDefault="0068070F">
            <w:r>
              <w:t>Due to commence Q4</w:t>
            </w:r>
          </w:p>
        </w:tc>
        <w:tc>
          <w:tcPr>
            <w:tcW w:w="2409" w:type="dxa"/>
            <w:noWrap/>
          </w:tcPr>
          <w:p w14:paraId="500E11A5" w14:textId="77777777" w:rsidR="0068070F" w:rsidRDefault="0068070F"/>
        </w:tc>
      </w:tr>
      <w:tr w:rsidR="00CC5C5A" w:rsidRPr="003F62DA" w14:paraId="59DC7779" w14:textId="77777777" w:rsidTr="0068070F">
        <w:trPr>
          <w:trHeight w:val="411"/>
        </w:trPr>
        <w:tc>
          <w:tcPr>
            <w:tcW w:w="2972" w:type="dxa"/>
            <w:shd w:val="clear" w:color="auto" w:fill="E7E6E6" w:themeFill="background2"/>
          </w:tcPr>
          <w:p w14:paraId="3255B82E" w14:textId="596FB312" w:rsidR="00CC5C5A" w:rsidRPr="003F62DA" w:rsidRDefault="00CC5C5A">
            <w:r>
              <w:t>CAPITA migration</w:t>
            </w:r>
          </w:p>
        </w:tc>
        <w:tc>
          <w:tcPr>
            <w:tcW w:w="567" w:type="dxa"/>
            <w:shd w:val="clear" w:color="auto" w:fill="E7E6E6" w:themeFill="background2"/>
            <w:noWrap/>
          </w:tcPr>
          <w:p w14:paraId="1D878C96" w14:textId="2D35A822" w:rsidR="00CC5C5A" w:rsidRDefault="00CC5C5A" w:rsidP="00323618">
            <w:pPr>
              <w:jc w:val="center"/>
            </w:pPr>
            <w:r>
              <w:t>1</w:t>
            </w:r>
          </w:p>
        </w:tc>
        <w:tc>
          <w:tcPr>
            <w:tcW w:w="3119" w:type="dxa"/>
            <w:shd w:val="clear" w:color="auto" w:fill="E7E6E6" w:themeFill="background2"/>
          </w:tcPr>
          <w:p w14:paraId="28290EBD" w14:textId="73C3BAB3" w:rsidR="00CC5C5A" w:rsidRDefault="0068070F">
            <w:r>
              <w:t>Deferred</w:t>
            </w:r>
          </w:p>
        </w:tc>
        <w:tc>
          <w:tcPr>
            <w:tcW w:w="2409" w:type="dxa"/>
            <w:shd w:val="clear" w:color="auto" w:fill="E7E6E6" w:themeFill="background2"/>
            <w:noWrap/>
          </w:tcPr>
          <w:p w14:paraId="4A271EFC" w14:textId="38D36CFD" w:rsidR="00CC5C5A" w:rsidRPr="003F62DA" w:rsidRDefault="00CC5C5A"/>
        </w:tc>
      </w:tr>
      <w:tr w:rsidR="00CC5C5A" w:rsidRPr="003F62DA" w14:paraId="3D8B7925" w14:textId="77777777" w:rsidTr="004E6289">
        <w:trPr>
          <w:trHeight w:val="390"/>
        </w:trPr>
        <w:tc>
          <w:tcPr>
            <w:tcW w:w="2972" w:type="dxa"/>
            <w:hideMark/>
          </w:tcPr>
          <w:p w14:paraId="3C1250AF" w14:textId="77777777" w:rsidR="00CC5C5A" w:rsidRPr="003F62DA" w:rsidRDefault="00CC5C5A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 xml:space="preserve">ICT </w:t>
            </w:r>
          </w:p>
        </w:tc>
        <w:tc>
          <w:tcPr>
            <w:tcW w:w="567" w:type="dxa"/>
            <w:hideMark/>
          </w:tcPr>
          <w:p w14:paraId="25AE11BB" w14:textId="51C967BA" w:rsidR="00CC5C5A" w:rsidRPr="00B03BCF" w:rsidRDefault="00CC5C5A" w:rsidP="00323618">
            <w:pPr>
              <w:jc w:val="center"/>
            </w:pPr>
          </w:p>
        </w:tc>
        <w:tc>
          <w:tcPr>
            <w:tcW w:w="3119" w:type="dxa"/>
          </w:tcPr>
          <w:p w14:paraId="69B85327" w14:textId="68C8FCB5" w:rsidR="00CC5C5A" w:rsidRPr="003F62DA" w:rsidRDefault="00CC5C5A"/>
        </w:tc>
        <w:tc>
          <w:tcPr>
            <w:tcW w:w="2409" w:type="dxa"/>
            <w:noWrap/>
            <w:hideMark/>
          </w:tcPr>
          <w:p w14:paraId="5F5AE837" w14:textId="77777777" w:rsidR="00CC5C5A" w:rsidRPr="003F62DA" w:rsidRDefault="00CC5C5A">
            <w:r w:rsidRPr="003F62DA">
              <w:t> </w:t>
            </w:r>
          </w:p>
        </w:tc>
      </w:tr>
      <w:tr w:rsidR="00CC5C5A" w:rsidRPr="003F62DA" w14:paraId="24349F2A" w14:textId="77777777" w:rsidTr="004E6289">
        <w:trPr>
          <w:trHeight w:val="309"/>
        </w:trPr>
        <w:tc>
          <w:tcPr>
            <w:tcW w:w="2972" w:type="dxa"/>
          </w:tcPr>
          <w:p w14:paraId="2AB36140" w14:textId="60BE216A" w:rsidR="00CC5C5A" w:rsidRPr="003F62DA" w:rsidRDefault="004E6289">
            <w:r>
              <w:t>Physical Security</w:t>
            </w:r>
            <w:r w:rsidR="0068070F">
              <w:t xml:space="preserve"> &amp; Environmental Controls</w:t>
            </w:r>
          </w:p>
        </w:tc>
        <w:tc>
          <w:tcPr>
            <w:tcW w:w="567" w:type="dxa"/>
          </w:tcPr>
          <w:p w14:paraId="3EA6A1CD" w14:textId="5597F0CB" w:rsidR="00CC5C5A" w:rsidRPr="00B03BCF" w:rsidRDefault="00CC5C5A" w:rsidP="00323618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14:paraId="0DC9B7F7" w14:textId="72FE5DFE" w:rsidR="00CC5C5A" w:rsidRPr="003F62DA" w:rsidRDefault="0068070F">
            <w:r>
              <w:t>Complete</w:t>
            </w:r>
          </w:p>
        </w:tc>
        <w:tc>
          <w:tcPr>
            <w:tcW w:w="2409" w:type="dxa"/>
            <w:noWrap/>
          </w:tcPr>
          <w:p w14:paraId="0EA327A5" w14:textId="7595E02B" w:rsidR="00CC5C5A" w:rsidRPr="003F62DA" w:rsidRDefault="0068070F">
            <w:r>
              <w:t>Limited</w:t>
            </w:r>
          </w:p>
        </w:tc>
      </w:tr>
      <w:tr w:rsidR="0068070F" w:rsidRPr="003F62DA" w14:paraId="094FADAC" w14:textId="77777777" w:rsidTr="004E6289">
        <w:trPr>
          <w:trHeight w:val="309"/>
        </w:trPr>
        <w:tc>
          <w:tcPr>
            <w:tcW w:w="2972" w:type="dxa"/>
          </w:tcPr>
          <w:p w14:paraId="7431A6AF" w14:textId="53F5A41E" w:rsidR="0068070F" w:rsidRDefault="0068070F">
            <w:r>
              <w:t>Back up and Disaster Recovery</w:t>
            </w:r>
          </w:p>
        </w:tc>
        <w:tc>
          <w:tcPr>
            <w:tcW w:w="567" w:type="dxa"/>
          </w:tcPr>
          <w:p w14:paraId="2FD47F63" w14:textId="11A5F834" w:rsidR="0068070F" w:rsidRDefault="0068070F" w:rsidP="00323618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14:paraId="0627BD87" w14:textId="4F4E5B9A" w:rsidR="0068070F" w:rsidRDefault="0068070F">
            <w:r>
              <w:t>Due to commence Q4</w:t>
            </w:r>
          </w:p>
        </w:tc>
        <w:tc>
          <w:tcPr>
            <w:tcW w:w="2409" w:type="dxa"/>
            <w:noWrap/>
          </w:tcPr>
          <w:p w14:paraId="3D9E9F3D" w14:textId="77777777" w:rsidR="0068070F" w:rsidRDefault="0068070F"/>
        </w:tc>
      </w:tr>
      <w:tr w:rsidR="00CC5C5A" w:rsidRPr="003F62DA" w14:paraId="6D25C0C5" w14:textId="77777777" w:rsidTr="004E6289">
        <w:trPr>
          <w:trHeight w:val="390"/>
        </w:trPr>
        <w:tc>
          <w:tcPr>
            <w:tcW w:w="2972" w:type="dxa"/>
            <w:hideMark/>
          </w:tcPr>
          <w:p w14:paraId="6B585347" w14:textId="2135365F" w:rsidR="00CC5C5A" w:rsidRPr="003F62DA" w:rsidRDefault="00CC5C5A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>Neighbourhoods</w:t>
            </w:r>
          </w:p>
        </w:tc>
        <w:tc>
          <w:tcPr>
            <w:tcW w:w="567" w:type="dxa"/>
            <w:hideMark/>
          </w:tcPr>
          <w:p w14:paraId="367FC48D" w14:textId="77777777" w:rsidR="00CC5C5A" w:rsidRPr="00B03BCF" w:rsidRDefault="00CC5C5A" w:rsidP="003F62DA">
            <w:r w:rsidRPr="00B03BCF">
              <w:t> </w:t>
            </w:r>
          </w:p>
        </w:tc>
        <w:tc>
          <w:tcPr>
            <w:tcW w:w="3119" w:type="dxa"/>
            <w:hideMark/>
          </w:tcPr>
          <w:p w14:paraId="19F9985A" w14:textId="77777777" w:rsidR="00CC5C5A" w:rsidRPr="003F62DA" w:rsidRDefault="00CC5C5A">
            <w:r w:rsidRPr="003F62DA">
              <w:t> </w:t>
            </w:r>
          </w:p>
        </w:tc>
        <w:tc>
          <w:tcPr>
            <w:tcW w:w="2409" w:type="dxa"/>
            <w:noWrap/>
            <w:hideMark/>
          </w:tcPr>
          <w:p w14:paraId="1756847F" w14:textId="77777777" w:rsidR="00CC5C5A" w:rsidRPr="003F62DA" w:rsidRDefault="00CC5C5A">
            <w:r w:rsidRPr="003F62DA">
              <w:t> </w:t>
            </w:r>
          </w:p>
        </w:tc>
      </w:tr>
      <w:tr w:rsidR="00CC5C5A" w:rsidRPr="003F62DA" w14:paraId="49DB62AC" w14:textId="77777777" w:rsidTr="0068070F">
        <w:trPr>
          <w:trHeight w:val="581"/>
        </w:trPr>
        <w:tc>
          <w:tcPr>
            <w:tcW w:w="2972" w:type="dxa"/>
            <w:shd w:val="clear" w:color="auto" w:fill="E7E6E6" w:themeFill="background2"/>
          </w:tcPr>
          <w:p w14:paraId="759A995D" w14:textId="6BFCA53B" w:rsidR="00CC5C5A" w:rsidRPr="003F62DA" w:rsidRDefault="00CC5C5A">
            <w:r>
              <w:t>Closed Graveyards</w:t>
            </w:r>
          </w:p>
        </w:tc>
        <w:tc>
          <w:tcPr>
            <w:tcW w:w="567" w:type="dxa"/>
            <w:shd w:val="clear" w:color="auto" w:fill="E7E6E6" w:themeFill="background2"/>
          </w:tcPr>
          <w:p w14:paraId="46FA8A3B" w14:textId="72D66FD0" w:rsidR="00CC5C5A" w:rsidRPr="00B03BCF" w:rsidRDefault="00CC5C5A" w:rsidP="00323618">
            <w:pPr>
              <w:jc w:val="center"/>
            </w:pPr>
            <w:r>
              <w:t>2</w:t>
            </w:r>
          </w:p>
        </w:tc>
        <w:tc>
          <w:tcPr>
            <w:tcW w:w="3119" w:type="dxa"/>
            <w:shd w:val="clear" w:color="auto" w:fill="E7E6E6" w:themeFill="background2"/>
          </w:tcPr>
          <w:p w14:paraId="07C3E049" w14:textId="48DA6F5A" w:rsidR="00CC5C5A" w:rsidRPr="003F62DA" w:rsidRDefault="0068070F">
            <w:r>
              <w:t>Deferred</w:t>
            </w:r>
          </w:p>
        </w:tc>
        <w:tc>
          <w:tcPr>
            <w:tcW w:w="2409" w:type="dxa"/>
            <w:shd w:val="clear" w:color="auto" w:fill="E7E6E6" w:themeFill="background2"/>
            <w:noWrap/>
          </w:tcPr>
          <w:p w14:paraId="0080020D" w14:textId="78888308" w:rsidR="00CC5C5A" w:rsidRPr="003F62DA" w:rsidRDefault="00CC5C5A"/>
        </w:tc>
      </w:tr>
      <w:tr w:rsidR="004E6289" w:rsidRPr="003F62DA" w14:paraId="673666E2" w14:textId="77777777" w:rsidTr="004E6289">
        <w:trPr>
          <w:trHeight w:val="419"/>
        </w:trPr>
        <w:tc>
          <w:tcPr>
            <w:tcW w:w="9067" w:type="dxa"/>
            <w:gridSpan w:val="4"/>
            <w:hideMark/>
          </w:tcPr>
          <w:p w14:paraId="5977E26D" w14:textId="155B6D8A" w:rsidR="004E6289" w:rsidRPr="003F62DA" w:rsidRDefault="004E6289" w:rsidP="00323618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>P</w:t>
            </w:r>
            <w:r>
              <w:rPr>
                <w:b/>
                <w:bCs/>
              </w:rPr>
              <w:t>ROPERTY AND PLAN</w:t>
            </w:r>
            <w:r w:rsidRPr="003F62DA">
              <w:rPr>
                <w:b/>
                <w:bCs/>
              </w:rPr>
              <w:t xml:space="preserve">NING </w:t>
            </w:r>
          </w:p>
        </w:tc>
      </w:tr>
      <w:tr w:rsidR="00CC5C5A" w:rsidRPr="003F62DA" w14:paraId="23B23A69" w14:textId="77777777" w:rsidTr="004E6289">
        <w:trPr>
          <w:trHeight w:val="360"/>
        </w:trPr>
        <w:tc>
          <w:tcPr>
            <w:tcW w:w="2972" w:type="dxa"/>
            <w:noWrap/>
            <w:hideMark/>
          </w:tcPr>
          <w:p w14:paraId="2D15CC89" w14:textId="38E3E4DE" w:rsidR="00CC5C5A" w:rsidRPr="004B4EAF" w:rsidRDefault="00CC5C5A" w:rsidP="004B4EAF">
            <w:r w:rsidRPr="004B4EAF">
              <w:t>Building Control</w:t>
            </w:r>
          </w:p>
        </w:tc>
        <w:tc>
          <w:tcPr>
            <w:tcW w:w="567" w:type="dxa"/>
            <w:noWrap/>
            <w:hideMark/>
          </w:tcPr>
          <w:p w14:paraId="385474D8" w14:textId="5EA6C1D6" w:rsidR="00CC5C5A" w:rsidRPr="004B4EAF" w:rsidRDefault="00CC5C5A" w:rsidP="00323618">
            <w:pPr>
              <w:jc w:val="center"/>
            </w:pPr>
            <w:r w:rsidRPr="004B4EAF">
              <w:t>1</w:t>
            </w:r>
          </w:p>
        </w:tc>
        <w:tc>
          <w:tcPr>
            <w:tcW w:w="3119" w:type="dxa"/>
          </w:tcPr>
          <w:p w14:paraId="35D630E3" w14:textId="2FCD2601" w:rsidR="00CC5C5A" w:rsidRPr="004B4EAF" w:rsidRDefault="004E6289" w:rsidP="004B4EAF">
            <w:r>
              <w:t>Complete</w:t>
            </w:r>
          </w:p>
        </w:tc>
        <w:tc>
          <w:tcPr>
            <w:tcW w:w="2409" w:type="dxa"/>
            <w:noWrap/>
          </w:tcPr>
          <w:p w14:paraId="751E3A5F" w14:textId="1B0BF386" w:rsidR="00CC5C5A" w:rsidRPr="003F62DA" w:rsidRDefault="004E6289" w:rsidP="004B4EAF">
            <w:r>
              <w:t>Adequate</w:t>
            </w:r>
          </w:p>
        </w:tc>
      </w:tr>
      <w:tr w:rsidR="0068070F" w:rsidRPr="003F62DA" w14:paraId="48C54A32" w14:textId="77777777" w:rsidTr="004E6289">
        <w:trPr>
          <w:trHeight w:val="360"/>
        </w:trPr>
        <w:tc>
          <w:tcPr>
            <w:tcW w:w="2972" w:type="dxa"/>
            <w:noWrap/>
          </w:tcPr>
          <w:p w14:paraId="3568AE08" w14:textId="09F4BD4E" w:rsidR="0068070F" w:rsidRPr="004B4EAF" w:rsidRDefault="0068070F" w:rsidP="004B4EAF">
            <w:r>
              <w:t>Community Infrastructure Levy</w:t>
            </w:r>
          </w:p>
        </w:tc>
        <w:tc>
          <w:tcPr>
            <w:tcW w:w="567" w:type="dxa"/>
            <w:noWrap/>
          </w:tcPr>
          <w:p w14:paraId="0BE9344A" w14:textId="0D0F1954" w:rsidR="0068070F" w:rsidRPr="004B4EAF" w:rsidRDefault="0068070F" w:rsidP="00323618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14:paraId="0C87A406" w14:textId="6CF7E965" w:rsidR="0068070F" w:rsidRDefault="0068070F" w:rsidP="004B4EAF">
            <w:r>
              <w:t>In progress</w:t>
            </w:r>
          </w:p>
        </w:tc>
        <w:tc>
          <w:tcPr>
            <w:tcW w:w="2409" w:type="dxa"/>
            <w:noWrap/>
          </w:tcPr>
          <w:p w14:paraId="4AAC22F1" w14:textId="77777777" w:rsidR="0068070F" w:rsidRDefault="0068070F" w:rsidP="004B4EAF"/>
        </w:tc>
      </w:tr>
      <w:tr w:rsidR="00CC5C5A" w:rsidRPr="003F62DA" w14:paraId="4473EBE5" w14:textId="77777777" w:rsidTr="004E6289">
        <w:trPr>
          <w:trHeight w:val="360"/>
        </w:trPr>
        <w:tc>
          <w:tcPr>
            <w:tcW w:w="2972" w:type="dxa"/>
            <w:noWrap/>
            <w:hideMark/>
          </w:tcPr>
          <w:p w14:paraId="4543D42B" w14:textId="5783234C" w:rsidR="00CC5C5A" w:rsidRPr="001317EF" w:rsidRDefault="00CC5C5A" w:rsidP="004B4EAF">
            <w:r w:rsidRPr="001317EF">
              <w:t>Commercial Directorate Development Group</w:t>
            </w:r>
          </w:p>
        </w:tc>
        <w:tc>
          <w:tcPr>
            <w:tcW w:w="567" w:type="dxa"/>
            <w:noWrap/>
            <w:hideMark/>
          </w:tcPr>
          <w:p w14:paraId="562F4040" w14:textId="6D95D956" w:rsidR="00CC5C5A" w:rsidRPr="001317EF" w:rsidRDefault="004E6289" w:rsidP="004E6289">
            <w:r>
              <w:t>ALL</w:t>
            </w:r>
          </w:p>
        </w:tc>
        <w:tc>
          <w:tcPr>
            <w:tcW w:w="3119" w:type="dxa"/>
          </w:tcPr>
          <w:p w14:paraId="7E279FDE" w14:textId="1B8E4DD0" w:rsidR="00CC5C5A" w:rsidRPr="003F62DA" w:rsidRDefault="004E6289" w:rsidP="004B4EAF">
            <w:r>
              <w:t>On-going over the 12 months</w:t>
            </w:r>
          </w:p>
        </w:tc>
        <w:tc>
          <w:tcPr>
            <w:tcW w:w="2409" w:type="dxa"/>
            <w:noWrap/>
          </w:tcPr>
          <w:p w14:paraId="512CF305" w14:textId="4F0CF04A" w:rsidR="00CC5C5A" w:rsidRPr="003F62DA" w:rsidRDefault="004E6289" w:rsidP="004B4EAF">
            <w:r>
              <w:t>Not applicable</w:t>
            </w:r>
          </w:p>
        </w:tc>
      </w:tr>
      <w:tr w:rsidR="00CC5C5A" w:rsidRPr="003F62DA" w14:paraId="1D929C6F" w14:textId="77777777" w:rsidTr="004E6289">
        <w:trPr>
          <w:trHeight w:val="615"/>
        </w:trPr>
        <w:tc>
          <w:tcPr>
            <w:tcW w:w="2972" w:type="dxa"/>
            <w:noWrap/>
            <w:hideMark/>
          </w:tcPr>
          <w:p w14:paraId="2F648EC8" w14:textId="77777777" w:rsidR="00CC5C5A" w:rsidRPr="003F62DA" w:rsidRDefault="00CC5C5A" w:rsidP="004B4EAF">
            <w:r w:rsidRPr="003F62DA">
              <w:t xml:space="preserve">Project support </w:t>
            </w:r>
          </w:p>
        </w:tc>
        <w:tc>
          <w:tcPr>
            <w:tcW w:w="567" w:type="dxa"/>
            <w:noWrap/>
          </w:tcPr>
          <w:p w14:paraId="3FC660A1" w14:textId="3A2388B4" w:rsidR="00CC5C5A" w:rsidRPr="00B03BCF" w:rsidRDefault="004E6289" w:rsidP="00323618">
            <w:pPr>
              <w:jc w:val="center"/>
            </w:pPr>
            <w:r>
              <w:t>ALL</w:t>
            </w:r>
          </w:p>
        </w:tc>
        <w:tc>
          <w:tcPr>
            <w:tcW w:w="3119" w:type="dxa"/>
          </w:tcPr>
          <w:p w14:paraId="04C261A4" w14:textId="6A3B0651" w:rsidR="00CC5C5A" w:rsidRPr="003F62DA" w:rsidRDefault="004E6289" w:rsidP="004B4EAF">
            <w:r>
              <w:t>On-going over the 12 months</w:t>
            </w:r>
          </w:p>
        </w:tc>
        <w:tc>
          <w:tcPr>
            <w:tcW w:w="2409" w:type="dxa"/>
            <w:noWrap/>
          </w:tcPr>
          <w:p w14:paraId="30288567" w14:textId="7AE29C3B" w:rsidR="00CC5C5A" w:rsidRPr="003F62DA" w:rsidRDefault="004E6289" w:rsidP="004B4EAF">
            <w:r>
              <w:t>Not applicable</w:t>
            </w:r>
          </w:p>
        </w:tc>
      </w:tr>
      <w:tr w:rsidR="0068070F" w:rsidRPr="003F62DA" w14:paraId="53CE25CE" w14:textId="77777777" w:rsidTr="00185FEB">
        <w:trPr>
          <w:trHeight w:val="615"/>
        </w:trPr>
        <w:tc>
          <w:tcPr>
            <w:tcW w:w="9067" w:type="dxa"/>
            <w:gridSpan w:val="4"/>
            <w:noWrap/>
          </w:tcPr>
          <w:p w14:paraId="6B0256F0" w14:textId="50C2912E" w:rsidR="0068070F" w:rsidRPr="0068070F" w:rsidRDefault="0068070F" w:rsidP="004B4EAF">
            <w:pPr>
              <w:rPr>
                <w:b/>
                <w:bCs/>
              </w:rPr>
            </w:pPr>
            <w:r w:rsidRPr="0068070F">
              <w:rPr>
                <w:b/>
                <w:bCs/>
              </w:rPr>
              <w:t>COMMUNITIES</w:t>
            </w:r>
          </w:p>
        </w:tc>
      </w:tr>
      <w:tr w:rsidR="0068070F" w:rsidRPr="003F62DA" w14:paraId="36BC061B" w14:textId="77777777" w:rsidTr="0068070F">
        <w:trPr>
          <w:trHeight w:val="425"/>
        </w:trPr>
        <w:tc>
          <w:tcPr>
            <w:tcW w:w="2972" w:type="dxa"/>
            <w:noWrap/>
          </w:tcPr>
          <w:p w14:paraId="3EEC9141" w14:textId="26A3A991" w:rsidR="0068070F" w:rsidRPr="003F62DA" w:rsidRDefault="0068070F" w:rsidP="004B4EAF">
            <w:r>
              <w:t>Housing Standards</w:t>
            </w:r>
          </w:p>
        </w:tc>
        <w:tc>
          <w:tcPr>
            <w:tcW w:w="567" w:type="dxa"/>
            <w:noWrap/>
          </w:tcPr>
          <w:p w14:paraId="148D401C" w14:textId="6FACEBBA" w:rsidR="0068070F" w:rsidRDefault="0068070F" w:rsidP="00323618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14:paraId="09E12F51" w14:textId="48A69614" w:rsidR="0068070F" w:rsidRDefault="0068070F" w:rsidP="004B4EAF">
            <w:r>
              <w:t>In progress</w:t>
            </w:r>
          </w:p>
        </w:tc>
        <w:tc>
          <w:tcPr>
            <w:tcW w:w="2409" w:type="dxa"/>
            <w:noWrap/>
          </w:tcPr>
          <w:p w14:paraId="1EE0F24C" w14:textId="77777777" w:rsidR="0068070F" w:rsidRDefault="0068070F" w:rsidP="004B4EAF"/>
        </w:tc>
      </w:tr>
      <w:tr w:rsidR="0068070F" w:rsidRPr="003F62DA" w14:paraId="7A0758C1" w14:textId="77777777" w:rsidTr="00FD59CD">
        <w:trPr>
          <w:trHeight w:val="425"/>
        </w:trPr>
        <w:tc>
          <w:tcPr>
            <w:tcW w:w="9067" w:type="dxa"/>
            <w:gridSpan w:val="4"/>
            <w:noWrap/>
          </w:tcPr>
          <w:p w14:paraId="1F7F8468" w14:textId="57FA748E" w:rsidR="0068070F" w:rsidRPr="0068070F" w:rsidRDefault="0068070F" w:rsidP="004B4EAF">
            <w:pPr>
              <w:rPr>
                <w:b/>
                <w:bCs/>
              </w:rPr>
            </w:pPr>
            <w:r>
              <w:rPr>
                <w:b/>
                <w:bCs/>
              </w:rPr>
              <w:t>COMMUNICATIONS AND VISITOR ECONOMY</w:t>
            </w:r>
          </w:p>
        </w:tc>
      </w:tr>
      <w:tr w:rsidR="0068070F" w:rsidRPr="003F62DA" w14:paraId="6ACCB0CB" w14:textId="77777777" w:rsidTr="0068070F">
        <w:trPr>
          <w:trHeight w:val="425"/>
        </w:trPr>
        <w:tc>
          <w:tcPr>
            <w:tcW w:w="2972" w:type="dxa"/>
            <w:noWrap/>
          </w:tcPr>
          <w:p w14:paraId="234AB442" w14:textId="16286AD7" w:rsidR="0068070F" w:rsidRDefault="0068070F" w:rsidP="004B4EAF">
            <w:r>
              <w:t>Event Management</w:t>
            </w:r>
          </w:p>
        </w:tc>
        <w:tc>
          <w:tcPr>
            <w:tcW w:w="567" w:type="dxa"/>
            <w:noWrap/>
          </w:tcPr>
          <w:p w14:paraId="03F205B9" w14:textId="2797802A" w:rsidR="0068070F" w:rsidRDefault="0068070F" w:rsidP="00323618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14:paraId="76D23118" w14:textId="61B1C658" w:rsidR="0068070F" w:rsidRDefault="0068070F" w:rsidP="004B4EAF">
            <w:r>
              <w:t>Due to commence Q4</w:t>
            </w:r>
          </w:p>
        </w:tc>
        <w:tc>
          <w:tcPr>
            <w:tcW w:w="2409" w:type="dxa"/>
            <w:noWrap/>
          </w:tcPr>
          <w:p w14:paraId="78B249F8" w14:textId="77777777" w:rsidR="0068070F" w:rsidRDefault="0068070F" w:rsidP="004B4EAF"/>
        </w:tc>
      </w:tr>
      <w:tr w:rsidR="004E6289" w:rsidRPr="003F62DA" w14:paraId="665AC84A" w14:textId="77777777" w:rsidTr="004E6289">
        <w:trPr>
          <w:trHeight w:val="480"/>
        </w:trPr>
        <w:tc>
          <w:tcPr>
            <w:tcW w:w="9067" w:type="dxa"/>
            <w:gridSpan w:val="4"/>
            <w:hideMark/>
          </w:tcPr>
          <w:p w14:paraId="057EA3B3" w14:textId="5F4D814C" w:rsidR="004E6289" w:rsidRPr="003F62DA" w:rsidRDefault="004E6289" w:rsidP="004B4EAF">
            <w:pPr>
              <w:rPr>
                <w:b/>
                <w:bCs/>
              </w:rPr>
            </w:pPr>
            <w:r>
              <w:rPr>
                <w:b/>
                <w:bCs/>
              </w:rPr>
              <w:t>CHANGE AND DELIVERY</w:t>
            </w:r>
          </w:p>
        </w:tc>
      </w:tr>
      <w:tr w:rsidR="00CC5C5A" w:rsidRPr="003F62DA" w14:paraId="6EA7E138" w14:textId="77777777" w:rsidTr="004E6289">
        <w:trPr>
          <w:trHeight w:val="525"/>
        </w:trPr>
        <w:tc>
          <w:tcPr>
            <w:tcW w:w="2972" w:type="dxa"/>
            <w:shd w:val="clear" w:color="auto" w:fill="FFFFFF" w:themeFill="background1"/>
            <w:noWrap/>
            <w:hideMark/>
          </w:tcPr>
          <w:p w14:paraId="60F8A4AA" w14:textId="77777777" w:rsidR="00CC5C5A" w:rsidRDefault="00CC5C5A" w:rsidP="004B4EAF">
            <w:r w:rsidRPr="003F62DA">
              <w:t xml:space="preserve">Performance Management </w:t>
            </w:r>
            <w:r>
              <w:t>/ Data Quality</w:t>
            </w:r>
          </w:p>
          <w:p w14:paraId="43C2BCEA" w14:textId="467711F4" w:rsidR="00CC5C5A" w:rsidRPr="003F62DA" w:rsidRDefault="00CC5C5A" w:rsidP="004B4EAF"/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20D6246B" w14:textId="142A1951" w:rsidR="00CC5C5A" w:rsidRPr="003F62DA" w:rsidRDefault="00CC5C5A" w:rsidP="00323618">
            <w:pPr>
              <w:jc w:val="center"/>
            </w:pPr>
            <w: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14:paraId="6059703C" w14:textId="4C23E339" w:rsidR="00CC5C5A" w:rsidRPr="003F62DA" w:rsidRDefault="004E6289" w:rsidP="004B4EAF">
            <w:r>
              <w:t>Complete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62338CA8" w14:textId="6EEC0234" w:rsidR="00CC5C5A" w:rsidRPr="003F62DA" w:rsidRDefault="004E6289" w:rsidP="004B4EAF">
            <w:r>
              <w:t>Adequate</w:t>
            </w:r>
          </w:p>
        </w:tc>
      </w:tr>
      <w:tr w:rsidR="00CC5C5A" w:rsidRPr="003F62DA" w14:paraId="7597DB1D" w14:textId="77777777" w:rsidTr="004E6289">
        <w:trPr>
          <w:trHeight w:val="300"/>
        </w:trPr>
        <w:tc>
          <w:tcPr>
            <w:tcW w:w="2972" w:type="dxa"/>
            <w:noWrap/>
            <w:hideMark/>
          </w:tcPr>
          <w:p w14:paraId="39781988" w14:textId="72562D4C" w:rsidR="00CC5C5A" w:rsidRPr="003F62DA" w:rsidRDefault="00CC5C5A" w:rsidP="004B4EAF">
            <w:r>
              <w:t xml:space="preserve">Driver </w:t>
            </w:r>
            <w:r w:rsidR="004E6289">
              <w:t xml:space="preserve">Licence </w:t>
            </w:r>
            <w:r>
              <w:t>checks</w:t>
            </w:r>
          </w:p>
        </w:tc>
        <w:tc>
          <w:tcPr>
            <w:tcW w:w="567" w:type="dxa"/>
            <w:noWrap/>
            <w:hideMark/>
          </w:tcPr>
          <w:p w14:paraId="4F78375E" w14:textId="77777777" w:rsidR="00CC5C5A" w:rsidRPr="003F62DA" w:rsidRDefault="00CC5C5A" w:rsidP="00323618">
            <w:pPr>
              <w:jc w:val="center"/>
            </w:pPr>
            <w:r w:rsidRPr="003F62DA">
              <w:t>2</w:t>
            </w:r>
          </w:p>
        </w:tc>
        <w:tc>
          <w:tcPr>
            <w:tcW w:w="3119" w:type="dxa"/>
          </w:tcPr>
          <w:p w14:paraId="609FDCA0" w14:textId="325AE32A" w:rsidR="00CC5C5A" w:rsidRPr="003F62DA" w:rsidRDefault="0068070F" w:rsidP="004B4EAF">
            <w:r>
              <w:t xml:space="preserve">Complete </w:t>
            </w:r>
          </w:p>
        </w:tc>
        <w:tc>
          <w:tcPr>
            <w:tcW w:w="2409" w:type="dxa"/>
            <w:noWrap/>
          </w:tcPr>
          <w:p w14:paraId="6FDFBE63" w14:textId="0793C04B" w:rsidR="00CC5C5A" w:rsidRPr="003F62DA" w:rsidRDefault="0068070F" w:rsidP="004B4EAF">
            <w:r>
              <w:t>Limited</w:t>
            </w:r>
          </w:p>
        </w:tc>
      </w:tr>
      <w:tr w:rsidR="0068070F" w:rsidRPr="003F62DA" w14:paraId="6533F592" w14:textId="77777777" w:rsidTr="004E6289">
        <w:trPr>
          <w:trHeight w:val="300"/>
        </w:trPr>
        <w:tc>
          <w:tcPr>
            <w:tcW w:w="2972" w:type="dxa"/>
            <w:noWrap/>
          </w:tcPr>
          <w:p w14:paraId="7F4C2B46" w14:textId="77777777" w:rsidR="0068070F" w:rsidRDefault="0068070F" w:rsidP="004B4EAF">
            <w:r>
              <w:t>Business Grants</w:t>
            </w:r>
          </w:p>
          <w:p w14:paraId="48E4BDCC" w14:textId="223C3DD3" w:rsidR="0068070F" w:rsidRDefault="0068070F" w:rsidP="004B4EAF"/>
        </w:tc>
        <w:tc>
          <w:tcPr>
            <w:tcW w:w="567" w:type="dxa"/>
            <w:noWrap/>
          </w:tcPr>
          <w:p w14:paraId="0A521F98" w14:textId="7C1C9234" w:rsidR="0068070F" w:rsidRPr="003F62DA" w:rsidRDefault="0068070F" w:rsidP="00323618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14:paraId="0B92C497" w14:textId="40553FCA" w:rsidR="0068070F" w:rsidRDefault="0068070F" w:rsidP="004B4EAF">
            <w:r>
              <w:t>In progress</w:t>
            </w:r>
          </w:p>
        </w:tc>
        <w:tc>
          <w:tcPr>
            <w:tcW w:w="2409" w:type="dxa"/>
            <w:noWrap/>
          </w:tcPr>
          <w:p w14:paraId="188C9B71" w14:textId="77777777" w:rsidR="0068070F" w:rsidRDefault="0068070F" w:rsidP="004B4EAF"/>
        </w:tc>
      </w:tr>
      <w:tr w:rsidR="004E6289" w:rsidRPr="003F62DA" w14:paraId="31DA4A9C" w14:textId="77777777" w:rsidTr="00ED3528">
        <w:trPr>
          <w:trHeight w:val="346"/>
        </w:trPr>
        <w:tc>
          <w:tcPr>
            <w:tcW w:w="9067" w:type="dxa"/>
            <w:gridSpan w:val="4"/>
            <w:hideMark/>
          </w:tcPr>
          <w:p w14:paraId="50CBB48C" w14:textId="6E94F3A1" w:rsidR="004E6289" w:rsidRPr="003F62DA" w:rsidRDefault="004E6289" w:rsidP="00161CF9">
            <w:r w:rsidRPr="003F62DA">
              <w:rPr>
                <w:b/>
                <w:bCs/>
              </w:rPr>
              <w:lastRenderedPageBreak/>
              <w:t xml:space="preserve">GOVERNANCE </w:t>
            </w:r>
          </w:p>
        </w:tc>
      </w:tr>
      <w:tr w:rsidR="00CC5C5A" w:rsidRPr="003F62DA" w14:paraId="10AD9F17" w14:textId="77777777" w:rsidTr="004E6289">
        <w:trPr>
          <w:trHeight w:val="300"/>
        </w:trPr>
        <w:tc>
          <w:tcPr>
            <w:tcW w:w="2972" w:type="dxa"/>
            <w:shd w:val="clear" w:color="auto" w:fill="FFFFFF" w:themeFill="background1"/>
            <w:hideMark/>
          </w:tcPr>
          <w:p w14:paraId="1E6CFDCB" w14:textId="77777777" w:rsidR="00CC5C5A" w:rsidRPr="003F62DA" w:rsidRDefault="00CC5C5A" w:rsidP="004B4EAF">
            <w:r w:rsidRPr="003F62DA">
              <w:t>General Data Protection Regulations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56511449" w14:textId="69934600" w:rsidR="00CC5C5A" w:rsidRPr="003F62DA" w:rsidRDefault="00CC5C5A" w:rsidP="00323618">
            <w:pPr>
              <w:jc w:val="center"/>
            </w:pPr>
            <w: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14:paraId="59982662" w14:textId="66652313" w:rsidR="00CC5C5A" w:rsidRPr="003F62DA" w:rsidRDefault="0068070F" w:rsidP="004B4EAF">
            <w:r>
              <w:t>Complete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3D05557E" w14:textId="12855D39" w:rsidR="00CC5C5A" w:rsidRPr="003F62DA" w:rsidRDefault="0068070F" w:rsidP="004B4EAF">
            <w:r>
              <w:t>Adequate</w:t>
            </w:r>
          </w:p>
        </w:tc>
      </w:tr>
      <w:tr w:rsidR="0068070F" w:rsidRPr="003F62DA" w14:paraId="7E7A23A9" w14:textId="77777777" w:rsidTr="004E6289">
        <w:trPr>
          <w:trHeight w:val="300"/>
        </w:trPr>
        <w:tc>
          <w:tcPr>
            <w:tcW w:w="2972" w:type="dxa"/>
            <w:shd w:val="clear" w:color="auto" w:fill="FFFFFF" w:themeFill="background1"/>
          </w:tcPr>
          <w:p w14:paraId="749FDAE8" w14:textId="01D6ABA8" w:rsidR="0068070F" w:rsidRPr="003F62DA" w:rsidRDefault="0068070F" w:rsidP="004B4EAF">
            <w:r>
              <w:t>Management of assets (Inventories)</w:t>
            </w:r>
          </w:p>
        </w:tc>
        <w:tc>
          <w:tcPr>
            <w:tcW w:w="567" w:type="dxa"/>
            <w:shd w:val="clear" w:color="auto" w:fill="FFFFFF" w:themeFill="background1"/>
          </w:tcPr>
          <w:p w14:paraId="339DEFBE" w14:textId="2383F10C" w:rsidR="0068070F" w:rsidRDefault="0068070F" w:rsidP="00323618">
            <w:pPr>
              <w:jc w:val="center"/>
            </w:pPr>
            <w:r>
              <w:t>3</w:t>
            </w:r>
          </w:p>
        </w:tc>
        <w:tc>
          <w:tcPr>
            <w:tcW w:w="3119" w:type="dxa"/>
            <w:shd w:val="clear" w:color="auto" w:fill="FFFFFF" w:themeFill="background1"/>
          </w:tcPr>
          <w:p w14:paraId="4D03106F" w14:textId="71AF559E" w:rsidR="0068070F" w:rsidRDefault="0068070F" w:rsidP="004B4EAF">
            <w:r>
              <w:t>Complete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099A45F3" w14:textId="42FC222C" w:rsidR="0068070F" w:rsidRDefault="0068070F" w:rsidP="004B4EAF">
            <w:r>
              <w:t>Adequate</w:t>
            </w:r>
          </w:p>
        </w:tc>
      </w:tr>
      <w:tr w:rsidR="0068070F" w:rsidRPr="003F62DA" w14:paraId="2EC15DE5" w14:textId="77777777" w:rsidTr="004E6289">
        <w:trPr>
          <w:trHeight w:val="300"/>
        </w:trPr>
        <w:tc>
          <w:tcPr>
            <w:tcW w:w="2972" w:type="dxa"/>
            <w:shd w:val="clear" w:color="auto" w:fill="FFFFFF" w:themeFill="background1"/>
          </w:tcPr>
          <w:p w14:paraId="5255CF57" w14:textId="337BB771" w:rsidR="0068070F" w:rsidRDefault="0068070F" w:rsidP="004B4EAF">
            <w:r>
              <w:t xml:space="preserve">Risk Management </w:t>
            </w:r>
          </w:p>
        </w:tc>
        <w:tc>
          <w:tcPr>
            <w:tcW w:w="567" w:type="dxa"/>
            <w:shd w:val="clear" w:color="auto" w:fill="FFFFFF" w:themeFill="background1"/>
          </w:tcPr>
          <w:p w14:paraId="41002308" w14:textId="2C393E59" w:rsidR="0068070F" w:rsidRDefault="0068070F" w:rsidP="00323618">
            <w:pPr>
              <w:jc w:val="center"/>
            </w:pPr>
            <w:r>
              <w:t>4</w:t>
            </w:r>
          </w:p>
        </w:tc>
        <w:tc>
          <w:tcPr>
            <w:tcW w:w="3119" w:type="dxa"/>
            <w:shd w:val="clear" w:color="auto" w:fill="FFFFFF" w:themeFill="background1"/>
          </w:tcPr>
          <w:p w14:paraId="3D4CCF5C" w14:textId="7AC8CA1C" w:rsidR="0068070F" w:rsidRDefault="0068070F" w:rsidP="004B4EAF">
            <w:r>
              <w:t>Due to commence Q4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46BBD403" w14:textId="77777777" w:rsidR="0068070F" w:rsidRDefault="0068070F" w:rsidP="004B4EAF"/>
        </w:tc>
      </w:tr>
      <w:tr w:rsidR="0068070F" w:rsidRPr="003F62DA" w14:paraId="18312965" w14:textId="77777777" w:rsidTr="00946E26">
        <w:trPr>
          <w:trHeight w:val="300"/>
        </w:trPr>
        <w:tc>
          <w:tcPr>
            <w:tcW w:w="9067" w:type="dxa"/>
            <w:gridSpan w:val="4"/>
            <w:shd w:val="clear" w:color="auto" w:fill="FFFFFF" w:themeFill="background1"/>
          </w:tcPr>
          <w:p w14:paraId="033B6227" w14:textId="164820D3" w:rsidR="0068070F" w:rsidRPr="00E80EFE" w:rsidRDefault="00E80EFE" w:rsidP="004B4EAF">
            <w:pPr>
              <w:rPr>
                <w:b/>
                <w:bCs/>
              </w:rPr>
            </w:pPr>
            <w:r>
              <w:rPr>
                <w:b/>
                <w:bCs/>
              </w:rPr>
              <w:t>FINANCE</w:t>
            </w:r>
          </w:p>
        </w:tc>
      </w:tr>
      <w:tr w:rsidR="0068070F" w:rsidRPr="003F62DA" w14:paraId="75C34CA1" w14:textId="77777777" w:rsidTr="004E6289">
        <w:trPr>
          <w:trHeight w:val="300"/>
        </w:trPr>
        <w:tc>
          <w:tcPr>
            <w:tcW w:w="2972" w:type="dxa"/>
            <w:shd w:val="clear" w:color="auto" w:fill="FFFFFF" w:themeFill="background1"/>
          </w:tcPr>
          <w:p w14:paraId="23A9FB03" w14:textId="35EF6BEC" w:rsidR="0068070F" w:rsidRDefault="00E80EFE" w:rsidP="004B4EAF">
            <w:r>
              <w:t>Bank Reconciliation and cash flow forecasting</w:t>
            </w:r>
          </w:p>
        </w:tc>
        <w:tc>
          <w:tcPr>
            <w:tcW w:w="567" w:type="dxa"/>
            <w:shd w:val="clear" w:color="auto" w:fill="FFFFFF" w:themeFill="background1"/>
          </w:tcPr>
          <w:p w14:paraId="4B0F605B" w14:textId="0B73CDA6" w:rsidR="0068070F" w:rsidRDefault="00E80EFE" w:rsidP="00323618">
            <w:pPr>
              <w:jc w:val="center"/>
            </w:pPr>
            <w:r>
              <w:t>4</w:t>
            </w:r>
          </w:p>
        </w:tc>
        <w:tc>
          <w:tcPr>
            <w:tcW w:w="3119" w:type="dxa"/>
            <w:shd w:val="clear" w:color="auto" w:fill="FFFFFF" w:themeFill="background1"/>
          </w:tcPr>
          <w:p w14:paraId="27F05ABA" w14:textId="474ED287" w:rsidR="0068070F" w:rsidRDefault="00E80EFE" w:rsidP="004B4EAF">
            <w:r>
              <w:t>Due to commence Q4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4AD558FA" w14:textId="77777777" w:rsidR="0068070F" w:rsidRDefault="0068070F" w:rsidP="004B4EAF"/>
        </w:tc>
      </w:tr>
      <w:tr w:rsidR="004E6289" w:rsidRPr="003F62DA" w14:paraId="68EEB8A5" w14:textId="77777777" w:rsidTr="009B7C08">
        <w:trPr>
          <w:trHeight w:val="360"/>
        </w:trPr>
        <w:tc>
          <w:tcPr>
            <w:tcW w:w="9067" w:type="dxa"/>
            <w:gridSpan w:val="4"/>
            <w:hideMark/>
          </w:tcPr>
          <w:p w14:paraId="7360F047" w14:textId="06D850C9" w:rsidR="004E6289" w:rsidRPr="003F62DA" w:rsidRDefault="004E6289" w:rsidP="004B4EAF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>GENERAL AREAS</w:t>
            </w:r>
          </w:p>
        </w:tc>
      </w:tr>
      <w:tr w:rsidR="004E6289" w:rsidRPr="003F62DA" w14:paraId="6410CCCD" w14:textId="77777777" w:rsidTr="004E6289">
        <w:trPr>
          <w:trHeight w:val="360"/>
        </w:trPr>
        <w:tc>
          <w:tcPr>
            <w:tcW w:w="2972" w:type="dxa"/>
            <w:noWrap/>
            <w:hideMark/>
          </w:tcPr>
          <w:p w14:paraId="292E7EAA" w14:textId="77777777" w:rsidR="004E6289" w:rsidRPr="003F62DA" w:rsidRDefault="004E6289" w:rsidP="004E6289">
            <w:r w:rsidRPr="003F62DA">
              <w:t>Post Audit Reviews</w:t>
            </w:r>
          </w:p>
        </w:tc>
        <w:tc>
          <w:tcPr>
            <w:tcW w:w="567" w:type="dxa"/>
            <w:noWrap/>
            <w:hideMark/>
          </w:tcPr>
          <w:p w14:paraId="77BE08BC" w14:textId="77777777" w:rsidR="004E6289" w:rsidRPr="003F62DA" w:rsidRDefault="004E6289" w:rsidP="004E6289">
            <w:pPr>
              <w:jc w:val="center"/>
            </w:pPr>
            <w:r w:rsidRPr="003F62DA">
              <w:t>ALL</w:t>
            </w:r>
          </w:p>
        </w:tc>
        <w:tc>
          <w:tcPr>
            <w:tcW w:w="3119" w:type="dxa"/>
          </w:tcPr>
          <w:p w14:paraId="515CE379" w14:textId="38843993" w:rsidR="004E6289" w:rsidRPr="003F62DA" w:rsidRDefault="004E6289" w:rsidP="004E6289">
            <w:r>
              <w:t>On-going over the 12 months</w:t>
            </w:r>
          </w:p>
        </w:tc>
        <w:tc>
          <w:tcPr>
            <w:tcW w:w="2409" w:type="dxa"/>
            <w:noWrap/>
          </w:tcPr>
          <w:p w14:paraId="738F85E6" w14:textId="2892C60F" w:rsidR="004E6289" w:rsidRPr="003F62DA" w:rsidRDefault="004E6289" w:rsidP="004E6289">
            <w:r>
              <w:t>Not applicable</w:t>
            </w:r>
          </w:p>
        </w:tc>
      </w:tr>
      <w:tr w:rsidR="004E6289" w:rsidRPr="003F62DA" w14:paraId="3E16DC70" w14:textId="77777777" w:rsidTr="004E6289">
        <w:trPr>
          <w:trHeight w:val="360"/>
        </w:trPr>
        <w:tc>
          <w:tcPr>
            <w:tcW w:w="2972" w:type="dxa"/>
            <w:hideMark/>
          </w:tcPr>
          <w:p w14:paraId="738DC53D" w14:textId="77777777" w:rsidR="004E6289" w:rsidRPr="003F62DA" w:rsidRDefault="004E6289" w:rsidP="004E6289">
            <w:r w:rsidRPr="003F62DA">
              <w:t xml:space="preserve">Contingency / Irregularities </w:t>
            </w:r>
          </w:p>
        </w:tc>
        <w:tc>
          <w:tcPr>
            <w:tcW w:w="567" w:type="dxa"/>
            <w:noWrap/>
            <w:hideMark/>
          </w:tcPr>
          <w:p w14:paraId="20D49D2A" w14:textId="77777777" w:rsidR="004E6289" w:rsidRPr="003F62DA" w:rsidRDefault="004E6289" w:rsidP="004E6289">
            <w:pPr>
              <w:jc w:val="center"/>
            </w:pPr>
            <w:r w:rsidRPr="003F62DA">
              <w:t>ALL</w:t>
            </w:r>
          </w:p>
        </w:tc>
        <w:tc>
          <w:tcPr>
            <w:tcW w:w="3119" w:type="dxa"/>
          </w:tcPr>
          <w:p w14:paraId="38250E70" w14:textId="7C78C9A9" w:rsidR="004E6289" w:rsidRPr="003F62DA" w:rsidRDefault="004E6289" w:rsidP="004E6289">
            <w:r>
              <w:t>On-going over the 12 months</w:t>
            </w:r>
          </w:p>
        </w:tc>
        <w:tc>
          <w:tcPr>
            <w:tcW w:w="2409" w:type="dxa"/>
            <w:noWrap/>
          </w:tcPr>
          <w:p w14:paraId="00A7BD53" w14:textId="10F25B99" w:rsidR="004E6289" w:rsidRPr="003F62DA" w:rsidRDefault="004E6289" w:rsidP="004E6289">
            <w:r>
              <w:t>Not applicable</w:t>
            </w:r>
          </w:p>
        </w:tc>
      </w:tr>
      <w:tr w:rsidR="004E6289" w:rsidRPr="003F62DA" w14:paraId="7DFA8CA6" w14:textId="77777777" w:rsidTr="004E6289">
        <w:trPr>
          <w:trHeight w:val="300"/>
        </w:trPr>
        <w:tc>
          <w:tcPr>
            <w:tcW w:w="2972" w:type="dxa"/>
            <w:hideMark/>
          </w:tcPr>
          <w:p w14:paraId="0E1392E0" w14:textId="612A718A" w:rsidR="004E6289" w:rsidRPr="003F62DA" w:rsidRDefault="004E6289" w:rsidP="004E6289">
            <w:r w:rsidRPr="003F62DA">
              <w:t xml:space="preserve">PSIAS </w:t>
            </w:r>
            <w:r>
              <w:t>–</w:t>
            </w:r>
            <w:r w:rsidRPr="003F62DA">
              <w:t xml:space="preserve"> P</w:t>
            </w:r>
            <w:r>
              <w:t>eer Review</w:t>
            </w:r>
          </w:p>
        </w:tc>
        <w:tc>
          <w:tcPr>
            <w:tcW w:w="567" w:type="dxa"/>
            <w:noWrap/>
            <w:hideMark/>
          </w:tcPr>
          <w:p w14:paraId="1FF666AE" w14:textId="77777777" w:rsidR="004E6289" w:rsidRPr="003F62DA" w:rsidRDefault="004E6289" w:rsidP="004E6289">
            <w:pPr>
              <w:jc w:val="center"/>
            </w:pPr>
            <w:r w:rsidRPr="003F62DA">
              <w:t>ALL</w:t>
            </w:r>
          </w:p>
        </w:tc>
        <w:tc>
          <w:tcPr>
            <w:tcW w:w="3119" w:type="dxa"/>
          </w:tcPr>
          <w:p w14:paraId="462FEC04" w14:textId="6F797845" w:rsidR="004E6289" w:rsidRPr="003F62DA" w:rsidRDefault="004E6289" w:rsidP="004E6289">
            <w:r>
              <w:t>Complete</w:t>
            </w:r>
          </w:p>
        </w:tc>
        <w:tc>
          <w:tcPr>
            <w:tcW w:w="2409" w:type="dxa"/>
            <w:noWrap/>
          </w:tcPr>
          <w:p w14:paraId="377E2913" w14:textId="6987E0DE" w:rsidR="004E6289" w:rsidRPr="003F62DA" w:rsidRDefault="004E6289" w:rsidP="004E6289">
            <w:r>
              <w:t>Not applicable</w:t>
            </w:r>
          </w:p>
        </w:tc>
      </w:tr>
      <w:tr w:rsidR="004E6289" w:rsidRPr="003F62DA" w14:paraId="25FDABAB" w14:textId="77777777" w:rsidTr="004E6289">
        <w:trPr>
          <w:trHeight w:val="300"/>
        </w:trPr>
        <w:tc>
          <w:tcPr>
            <w:tcW w:w="2972" w:type="dxa"/>
            <w:hideMark/>
          </w:tcPr>
          <w:p w14:paraId="0FF2B8D7" w14:textId="37C71A43" w:rsidR="004E6289" w:rsidRPr="003F62DA" w:rsidRDefault="004E6289" w:rsidP="004E6289">
            <w:r w:rsidRPr="003F62DA">
              <w:t>Residual Work from 2</w:t>
            </w:r>
            <w:r>
              <w:t>022-2023</w:t>
            </w:r>
          </w:p>
        </w:tc>
        <w:tc>
          <w:tcPr>
            <w:tcW w:w="567" w:type="dxa"/>
            <w:noWrap/>
            <w:hideMark/>
          </w:tcPr>
          <w:p w14:paraId="6DA9BF62" w14:textId="77777777" w:rsidR="004E6289" w:rsidRPr="003F62DA" w:rsidRDefault="004E6289" w:rsidP="004E6289">
            <w:pPr>
              <w:jc w:val="center"/>
            </w:pPr>
            <w:r w:rsidRPr="003F62DA">
              <w:t>1</w:t>
            </w:r>
          </w:p>
        </w:tc>
        <w:tc>
          <w:tcPr>
            <w:tcW w:w="3119" w:type="dxa"/>
            <w:hideMark/>
          </w:tcPr>
          <w:p w14:paraId="141BA59D" w14:textId="32695AA1" w:rsidR="004E6289" w:rsidRPr="003F62DA" w:rsidRDefault="004E6289" w:rsidP="004E6289">
            <w:r>
              <w:t>Complete</w:t>
            </w:r>
          </w:p>
        </w:tc>
        <w:tc>
          <w:tcPr>
            <w:tcW w:w="2409" w:type="dxa"/>
            <w:noWrap/>
            <w:hideMark/>
          </w:tcPr>
          <w:p w14:paraId="03AD2F56" w14:textId="67BAD6DC" w:rsidR="004E6289" w:rsidRPr="003F62DA" w:rsidRDefault="004E6289" w:rsidP="004E6289">
            <w:r>
              <w:t>Not applicable</w:t>
            </w:r>
          </w:p>
        </w:tc>
      </w:tr>
      <w:tr w:rsidR="007F2AC1" w:rsidRPr="003F62DA" w14:paraId="587ED698" w14:textId="77777777" w:rsidTr="004E6289">
        <w:trPr>
          <w:trHeight w:val="300"/>
        </w:trPr>
        <w:tc>
          <w:tcPr>
            <w:tcW w:w="2972" w:type="dxa"/>
          </w:tcPr>
          <w:p w14:paraId="0AFF54E1" w14:textId="0F7D7B2C" w:rsidR="007F2AC1" w:rsidRPr="003F62DA" w:rsidRDefault="007F2AC1" w:rsidP="004E6289">
            <w:r>
              <w:t>Internal Audit Effectiveness Review</w:t>
            </w:r>
          </w:p>
        </w:tc>
        <w:tc>
          <w:tcPr>
            <w:tcW w:w="567" w:type="dxa"/>
            <w:noWrap/>
          </w:tcPr>
          <w:p w14:paraId="0067F849" w14:textId="5BEB0F83" w:rsidR="007F2AC1" w:rsidRPr="003F62DA" w:rsidRDefault="007F2AC1" w:rsidP="004E6289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14:paraId="2FACB301" w14:textId="7E2F0C71" w:rsidR="007F2AC1" w:rsidRDefault="007F2AC1" w:rsidP="004E6289">
            <w:r>
              <w:t>To commence Q4</w:t>
            </w:r>
          </w:p>
        </w:tc>
        <w:tc>
          <w:tcPr>
            <w:tcW w:w="2409" w:type="dxa"/>
            <w:noWrap/>
          </w:tcPr>
          <w:p w14:paraId="0F5C06D5" w14:textId="77777777" w:rsidR="007F2AC1" w:rsidRDefault="007F2AC1" w:rsidP="004E6289"/>
        </w:tc>
      </w:tr>
      <w:tr w:rsidR="004E6289" w:rsidRPr="003F62DA" w14:paraId="55804B83" w14:textId="77777777" w:rsidTr="004E6289">
        <w:trPr>
          <w:trHeight w:val="593"/>
        </w:trPr>
        <w:tc>
          <w:tcPr>
            <w:tcW w:w="2972" w:type="dxa"/>
            <w:hideMark/>
          </w:tcPr>
          <w:p w14:paraId="08FA37E2" w14:textId="77777777" w:rsidR="004E6289" w:rsidRPr="003F62DA" w:rsidRDefault="004E6289" w:rsidP="004E6289">
            <w:r w:rsidRPr="003F62DA">
              <w:t>Committee Reporting / Effectiveness Review</w:t>
            </w:r>
          </w:p>
        </w:tc>
        <w:tc>
          <w:tcPr>
            <w:tcW w:w="567" w:type="dxa"/>
            <w:noWrap/>
            <w:hideMark/>
          </w:tcPr>
          <w:p w14:paraId="023E9978" w14:textId="091A8ADF" w:rsidR="004E6289" w:rsidRPr="003F62DA" w:rsidRDefault="004E6289" w:rsidP="004E6289">
            <w:pPr>
              <w:jc w:val="center"/>
            </w:pPr>
            <w:r w:rsidRPr="003F62DA">
              <w:t>All</w:t>
            </w:r>
          </w:p>
        </w:tc>
        <w:tc>
          <w:tcPr>
            <w:tcW w:w="3119" w:type="dxa"/>
          </w:tcPr>
          <w:p w14:paraId="53F7CB4A" w14:textId="580AA90B" w:rsidR="004E6289" w:rsidRPr="003F62DA" w:rsidRDefault="004E6289" w:rsidP="004E6289">
            <w:r>
              <w:t>On-going over the 12 months</w:t>
            </w:r>
          </w:p>
        </w:tc>
        <w:tc>
          <w:tcPr>
            <w:tcW w:w="2409" w:type="dxa"/>
            <w:noWrap/>
            <w:hideMark/>
          </w:tcPr>
          <w:p w14:paraId="643EBA5C" w14:textId="53B6886F" w:rsidR="004E6289" w:rsidRPr="003F62DA" w:rsidRDefault="004E6289" w:rsidP="004E6289">
            <w:r>
              <w:t>Not applicable</w:t>
            </w:r>
          </w:p>
        </w:tc>
      </w:tr>
    </w:tbl>
    <w:p w14:paraId="7FCCCB08" w14:textId="77777777" w:rsidR="00C16E54" w:rsidRDefault="00C16E54"/>
    <w:sectPr w:rsidR="00C16E54" w:rsidSect="00CC5C5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A25D3" w14:textId="77777777" w:rsidR="003F62DA" w:rsidRDefault="003F62DA" w:rsidP="003F62DA">
      <w:pPr>
        <w:spacing w:after="0" w:line="240" w:lineRule="auto"/>
      </w:pPr>
      <w:r>
        <w:separator/>
      </w:r>
    </w:p>
  </w:endnote>
  <w:endnote w:type="continuationSeparator" w:id="0">
    <w:p w14:paraId="0811D922" w14:textId="77777777" w:rsidR="003F62DA" w:rsidRDefault="003F62DA" w:rsidP="003F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ED289" w14:textId="77777777" w:rsidR="003F62DA" w:rsidRDefault="003F62DA" w:rsidP="003F62DA">
      <w:pPr>
        <w:spacing w:after="0" w:line="240" w:lineRule="auto"/>
      </w:pPr>
      <w:r>
        <w:separator/>
      </w:r>
    </w:p>
  </w:footnote>
  <w:footnote w:type="continuationSeparator" w:id="0">
    <w:p w14:paraId="6E9FE64A" w14:textId="77777777" w:rsidR="003F62DA" w:rsidRDefault="003F62DA" w:rsidP="003F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7FA4C" w14:textId="7C3E6B66" w:rsidR="003F62DA" w:rsidRDefault="003F62DA" w:rsidP="003F62DA">
    <w:pPr>
      <w:pStyle w:val="Header"/>
      <w:jc w:val="right"/>
    </w:pPr>
    <w:r>
      <w:t>Appendix A</w:t>
    </w:r>
  </w:p>
  <w:tbl>
    <w:tblPr>
      <w:tblStyle w:val="TableGrid"/>
      <w:tblW w:w="9067" w:type="dxa"/>
      <w:tblLook w:val="04A0" w:firstRow="1" w:lastRow="0" w:firstColumn="1" w:lastColumn="0" w:noHBand="0" w:noVBand="1"/>
    </w:tblPr>
    <w:tblGrid>
      <w:gridCol w:w="2927"/>
      <w:gridCol w:w="612"/>
      <w:gridCol w:w="3119"/>
      <w:gridCol w:w="2409"/>
    </w:tblGrid>
    <w:tr w:rsidR="00CC5C5A" w:rsidRPr="003F62DA" w14:paraId="37BCCD25" w14:textId="77777777" w:rsidTr="004E6289">
      <w:trPr>
        <w:trHeight w:val="1215"/>
      </w:trPr>
      <w:tc>
        <w:tcPr>
          <w:tcW w:w="2927" w:type="dxa"/>
          <w:shd w:val="clear" w:color="auto" w:fill="A8D08D" w:themeFill="accent6" w:themeFillTint="99"/>
          <w:hideMark/>
        </w:tcPr>
        <w:p w14:paraId="5D2A0E53" w14:textId="0668D780" w:rsidR="00CC5C5A" w:rsidRPr="003F62DA" w:rsidRDefault="00CC5C5A" w:rsidP="003F62DA">
          <w:pPr>
            <w:rPr>
              <w:b/>
              <w:bCs/>
            </w:rPr>
          </w:pPr>
          <w:r w:rsidRPr="003F62DA">
            <w:rPr>
              <w:b/>
              <w:bCs/>
            </w:rPr>
            <w:t>Internal Audit Plan -                              April 202</w:t>
          </w:r>
          <w:r>
            <w:rPr>
              <w:b/>
              <w:bCs/>
            </w:rPr>
            <w:t>3</w:t>
          </w:r>
          <w:r w:rsidRPr="003F62DA">
            <w:rPr>
              <w:b/>
              <w:bCs/>
            </w:rPr>
            <w:t xml:space="preserve"> to </w:t>
          </w:r>
          <w:r w:rsidR="0068070F">
            <w:rPr>
              <w:b/>
              <w:bCs/>
            </w:rPr>
            <w:t>March 2024</w:t>
          </w:r>
          <w:r w:rsidRPr="003F62DA">
            <w:rPr>
              <w:b/>
              <w:bCs/>
            </w:rPr>
            <w:t xml:space="preserve"> </w:t>
          </w:r>
        </w:p>
      </w:tc>
      <w:tc>
        <w:tcPr>
          <w:tcW w:w="612" w:type="dxa"/>
          <w:shd w:val="clear" w:color="auto" w:fill="A8D08D" w:themeFill="accent6" w:themeFillTint="99"/>
          <w:hideMark/>
        </w:tcPr>
        <w:p w14:paraId="31746264" w14:textId="77777777" w:rsidR="00CC5C5A" w:rsidRPr="003F62DA" w:rsidRDefault="00CC5C5A" w:rsidP="003F62DA">
          <w:pPr>
            <w:rPr>
              <w:b/>
              <w:bCs/>
            </w:rPr>
          </w:pPr>
          <w:r w:rsidRPr="003F62DA">
            <w:rPr>
              <w:b/>
              <w:bCs/>
            </w:rPr>
            <w:t>QTR</w:t>
          </w:r>
        </w:p>
      </w:tc>
      <w:tc>
        <w:tcPr>
          <w:tcW w:w="3119" w:type="dxa"/>
          <w:shd w:val="clear" w:color="auto" w:fill="A8D08D" w:themeFill="accent6" w:themeFillTint="99"/>
          <w:hideMark/>
        </w:tcPr>
        <w:p w14:paraId="3C759ED9" w14:textId="7EB1DA26" w:rsidR="00CC5C5A" w:rsidRDefault="00CC5C5A" w:rsidP="001B052C">
          <w:pPr>
            <w:rPr>
              <w:b/>
              <w:bCs/>
            </w:rPr>
          </w:pPr>
          <w:r>
            <w:rPr>
              <w:b/>
              <w:bCs/>
            </w:rPr>
            <w:t>Status of Review</w:t>
          </w:r>
        </w:p>
        <w:p w14:paraId="65589A61" w14:textId="77777777" w:rsidR="00CC5C5A" w:rsidRDefault="00CC5C5A" w:rsidP="001B052C">
          <w:pPr>
            <w:rPr>
              <w:b/>
              <w:bCs/>
            </w:rPr>
          </w:pPr>
        </w:p>
        <w:p w14:paraId="75D0CADF" w14:textId="075BBC6F" w:rsidR="00CC5C5A" w:rsidRPr="001B052C" w:rsidRDefault="00CC5C5A" w:rsidP="001B052C">
          <w:pPr>
            <w:jc w:val="center"/>
          </w:pPr>
        </w:p>
      </w:tc>
      <w:tc>
        <w:tcPr>
          <w:tcW w:w="2409" w:type="dxa"/>
          <w:shd w:val="clear" w:color="auto" w:fill="A8D08D" w:themeFill="accent6" w:themeFillTint="99"/>
          <w:hideMark/>
        </w:tcPr>
        <w:p w14:paraId="6603B828" w14:textId="3887FB7E" w:rsidR="00CC5C5A" w:rsidRPr="003F62DA" w:rsidRDefault="00CC5C5A" w:rsidP="003F62DA">
          <w:pPr>
            <w:rPr>
              <w:b/>
              <w:bCs/>
            </w:rPr>
          </w:pPr>
          <w:r>
            <w:rPr>
              <w:b/>
              <w:bCs/>
            </w:rPr>
            <w:t>Assurance Rating</w:t>
          </w:r>
        </w:p>
      </w:tc>
    </w:tr>
  </w:tbl>
  <w:p w14:paraId="6C000D79" w14:textId="77777777" w:rsidR="003F62DA" w:rsidRDefault="003F62DA" w:rsidP="003F6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DA"/>
    <w:rsid w:val="001317EF"/>
    <w:rsid w:val="00161CF9"/>
    <w:rsid w:val="001B052C"/>
    <w:rsid w:val="0030152F"/>
    <w:rsid w:val="00323618"/>
    <w:rsid w:val="00373998"/>
    <w:rsid w:val="003F62DA"/>
    <w:rsid w:val="00484F51"/>
    <w:rsid w:val="004B4EAF"/>
    <w:rsid w:val="004E6289"/>
    <w:rsid w:val="005E6CD6"/>
    <w:rsid w:val="00623ECF"/>
    <w:rsid w:val="00625A06"/>
    <w:rsid w:val="0068070F"/>
    <w:rsid w:val="00732F25"/>
    <w:rsid w:val="007F2AC1"/>
    <w:rsid w:val="00953FD1"/>
    <w:rsid w:val="00AA7BD4"/>
    <w:rsid w:val="00B03BCF"/>
    <w:rsid w:val="00C16E54"/>
    <w:rsid w:val="00CC5C5A"/>
    <w:rsid w:val="00CF2EE4"/>
    <w:rsid w:val="00D73361"/>
    <w:rsid w:val="00E8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EF2B19"/>
  <w15:chartTrackingRefBased/>
  <w15:docId w15:val="{8A497E53-B3BA-46B8-B81F-B0593230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6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DA"/>
  </w:style>
  <w:style w:type="paragraph" w:styleId="Footer">
    <w:name w:val="footer"/>
    <w:basedOn w:val="Normal"/>
    <w:link w:val="FooterChar"/>
    <w:uiPriority w:val="99"/>
    <w:unhideWhenUsed/>
    <w:rsid w:val="003F6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Highton</dc:creator>
  <cp:keywords/>
  <dc:description/>
  <cp:lastModifiedBy>Dawn Highton</cp:lastModifiedBy>
  <cp:revision>3</cp:revision>
  <dcterms:created xsi:type="dcterms:W3CDTF">2023-12-21T16:36:00Z</dcterms:created>
  <dcterms:modified xsi:type="dcterms:W3CDTF">2023-12-21T16:48:00Z</dcterms:modified>
</cp:coreProperties>
</file>